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商品混凝土供应商备案入库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bookmarkStart w:id="159" w:name="_GoBack"/>
      <w:bookmarkEnd w:id="159"/>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商品混凝土供应商入库协议</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响应性文件格式</w:t>
          </w:r>
          <w:r>
            <w:rPr>
              <w:rFonts w:hint="eastAsia" w:asciiTheme="minorEastAsia" w:hAnsiTheme="minorEastAsia" w:eastAsiaTheme="minorEastAsia" w:cstheme="minorEastAsia"/>
              <w:sz w:val="28"/>
              <w:szCs w:val="28"/>
              <w:highlight w:val="none"/>
            </w:rPr>
            <w:tab/>
          </w:r>
          <w:bookmarkStart w:id="1" w:name="_Toc1312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"_Toc9975_WPSOffice_Level1"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第五章 评审办法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21</w:t>
          </w:r>
          <w:r>
            <w:rPr>
              <w:rFonts w:hint="eastAsia" w:asciiTheme="minorEastAsia" w:hAnsiTheme="minorEastAsia" w:eastAsiaTheme="minorEastAsia" w:cstheme="minorEastAsia"/>
              <w:sz w:val="28"/>
              <w:szCs w:val="28"/>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2" w:name="_Toc9251_WPSOffice_Level1"/>
      <w:r>
        <w:rPr>
          <w:rFonts w:hint="eastAsia" w:asciiTheme="minorEastAsia" w:hAnsiTheme="minorEastAsia" w:cstheme="minorEastAsia"/>
          <w:b/>
          <w:bCs/>
          <w:color w:val="000000" w:themeColor="text1"/>
          <w:kern w:val="36"/>
          <w:sz w:val="30"/>
          <w:szCs w:val="30"/>
          <w:highlight w:val="none"/>
        </w:rPr>
        <w:t>比选公告</w:t>
      </w:r>
      <w:bookmarkEnd w:id="2"/>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四川康藏路桥有限责任公司拟建立商品混凝土供应商备选库。根据相关法律法规的规定，按照公开、公平、公正的原则，进行商品混凝土供应商入库比选。欢迎符合条件的企业或单位积极参加。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项目名称：商品混凝土供应商备案入库。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numPr>
          <w:ilvl w:val="0"/>
          <w:numId w:val="4"/>
        </w:numPr>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商品（预拌）混凝土</w:t>
      </w:r>
      <w:r>
        <w:rPr>
          <w:rFonts w:hint="eastAsia" w:asciiTheme="minorEastAsia" w:hAnsiTheme="minorEastAsia" w:cstheme="minorEastAsia"/>
          <w:color w:val="000000" w:themeColor="text1"/>
          <w:kern w:val="0"/>
          <w:sz w:val="24"/>
          <w:szCs w:val="24"/>
          <w:highlight w:val="none"/>
        </w:rPr>
        <w:t>生产</w:t>
      </w:r>
      <w:r>
        <w:rPr>
          <w:rFonts w:hint="eastAsia" w:asciiTheme="minorEastAsia" w:hAnsiTheme="minorEastAsia" w:cstheme="minorEastAsia"/>
          <w:color w:val="000000" w:themeColor="text1"/>
          <w:kern w:val="0"/>
          <w:sz w:val="24"/>
          <w:szCs w:val="24"/>
          <w:highlight w:val="none"/>
          <w:lang w:eastAsia="zh-CN"/>
        </w:rPr>
        <w:t>经营范围的企业或</w:t>
      </w:r>
      <w:r>
        <w:rPr>
          <w:rFonts w:hint="eastAsia" w:asciiTheme="minorEastAsia" w:hAnsiTheme="minorEastAsia" w:cstheme="minorEastAsia"/>
          <w:color w:val="000000" w:themeColor="text1"/>
          <w:kern w:val="0"/>
          <w:sz w:val="24"/>
          <w:szCs w:val="24"/>
          <w:highlight w:val="none"/>
        </w:rPr>
        <w:t>销售经营范围的</w:t>
      </w:r>
      <w:r>
        <w:rPr>
          <w:rFonts w:hint="eastAsia" w:asciiTheme="minorEastAsia" w:hAnsiTheme="minorEastAsia" w:cstheme="minorEastAsia"/>
          <w:color w:val="000000" w:themeColor="text1"/>
          <w:kern w:val="0"/>
          <w:sz w:val="24"/>
          <w:szCs w:val="24"/>
          <w:highlight w:val="none"/>
          <w:lang w:eastAsia="zh-CN"/>
        </w:rPr>
        <w:t>经销商</w:t>
      </w:r>
      <w:r>
        <w:rPr>
          <w:rFonts w:hint="eastAsia" w:asciiTheme="minorEastAsia" w:hAnsiTheme="minorEastAsia" w:cstheme="minorEastAsia"/>
          <w:color w:val="000000" w:themeColor="text1"/>
          <w:kern w:val="0"/>
          <w:sz w:val="24"/>
          <w:szCs w:val="24"/>
          <w:highlight w:val="none"/>
        </w:rPr>
        <w:t>。</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注册资金不少于人民币500万元整。</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70" w:firstLineChars="196"/>
        <w:jc w:val="left"/>
        <w:rPr>
          <w:rFonts w:hint="eastAsia" w:asciiTheme="minorEastAsia" w:hAnsiTheme="minorEastAsia" w:cstheme="minorEastAsia"/>
          <w:b/>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2年（2018年至今）完成不少于1个类似项目业绩，类似项目是指单项合同金额10万元及以上的</w:t>
      </w:r>
      <w:r>
        <w:rPr>
          <w:rFonts w:hint="eastAsia" w:asciiTheme="minorEastAsia" w:hAnsiTheme="minorEastAsia" w:cstheme="minorEastAsia"/>
          <w:color w:val="000000"/>
          <w:kern w:val="0"/>
          <w:sz w:val="24"/>
          <w:szCs w:val="24"/>
          <w:highlight w:val="none"/>
        </w:rPr>
        <w:t>商品（预拌）混凝土</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 xml:space="preserve"> 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日10时40分。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日10时40分。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2019年10月2</w:t>
      </w:r>
      <w:r>
        <w:rPr>
          <w:rFonts w:hint="eastAsia" w:cs="仿宋_GB2312" w:asciiTheme="minorEastAsia" w:hAnsiTheme="minorEastAsia"/>
          <w:color w:val="FF0000"/>
          <w:kern w:val="0"/>
          <w:sz w:val="24"/>
          <w:szCs w:val="24"/>
          <w:highlight w:val="none"/>
          <w:lang w:val="en-US" w:eastAsia="zh-CN"/>
        </w:rPr>
        <w:t>5</w:t>
      </w:r>
      <w:r>
        <w:rPr>
          <w:rFonts w:hint="eastAsia" w:cs="仿宋_GB2312" w:asciiTheme="minorEastAsia" w:hAnsiTheme="minorEastAsia"/>
          <w:color w:val="FF0000"/>
          <w:kern w:val="0"/>
          <w:sz w:val="24"/>
          <w:szCs w:val="24"/>
          <w:highlight w:val="none"/>
        </w:rPr>
        <w:t>日</w:t>
      </w:r>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3" w:name="_Toc17654_WPSOffice_Level1"/>
      <w:r>
        <w:rPr>
          <w:rFonts w:hint="eastAsia" w:asciiTheme="minorEastAsia" w:hAnsiTheme="minorEastAsia" w:cstheme="minorEastAsia"/>
          <w:b/>
          <w:sz w:val="30"/>
          <w:szCs w:val="30"/>
          <w:highlight w:val="none"/>
        </w:rPr>
        <w:t>响应人须知</w:t>
      </w:r>
      <w:bookmarkEnd w:id="3"/>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四川康藏路桥有限责任公司商品混凝土供应商备案入库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numPr>
                <w:ilvl w:val="-1"/>
                <w:numId w:val="0"/>
              </w:numPr>
              <w:shd w:val="clear" w:color="auto" w:fill="FFFFFF"/>
              <w:spacing w:line="360" w:lineRule="auto"/>
              <w:ind w:firstLine="0" w:firstLineChars="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1、</w:t>
            </w: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商品（预拌）混凝土</w:t>
            </w:r>
            <w:r>
              <w:rPr>
                <w:rFonts w:hint="eastAsia" w:asciiTheme="minorEastAsia" w:hAnsiTheme="minorEastAsia" w:cstheme="minorEastAsia"/>
                <w:color w:val="000000" w:themeColor="text1"/>
                <w:kern w:val="0"/>
                <w:sz w:val="24"/>
                <w:szCs w:val="24"/>
                <w:highlight w:val="none"/>
              </w:rPr>
              <w:t>生产</w:t>
            </w:r>
            <w:r>
              <w:rPr>
                <w:rFonts w:hint="eastAsia" w:asciiTheme="minorEastAsia" w:hAnsiTheme="minorEastAsia" w:cstheme="minorEastAsia"/>
                <w:color w:val="000000" w:themeColor="text1"/>
                <w:kern w:val="0"/>
                <w:sz w:val="24"/>
                <w:szCs w:val="24"/>
                <w:highlight w:val="none"/>
                <w:lang w:eastAsia="zh-CN"/>
              </w:rPr>
              <w:t>经营范围的企业或</w:t>
            </w:r>
            <w:r>
              <w:rPr>
                <w:rFonts w:hint="eastAsia" w:asciiTheme="minorEastAsia" w:hAnsiTheme="minorEastAsia" w:cstheme="minorEastAsia"/>
                <w:color w:val="000000" w:themeColor="text1"/>
                <w:kern w:val="0"/>
                <w:sz w:val="24"/>
                <w:szCs w:val="24"/>
                <w:highlight w:val="none"/>
              </w:rPr>
              <w:t>销售经营范围的</w:t>
            </w:r>
            <w:r>
              <w:rPr>
                <w:rFonts w:hint="eastAsia" w:asciiTheme="minorEastAsia" w:hAnsiTheme="minorEastAsia" w:cstheme="minorEastAsia"/>
                <w:color w:val="000000" w:themeColor="text1"/>
                <w:kern w:val="0"/>
                <w:sz w:val="24"/>
                <w:szCs w:val="24"/>
                <w:highlight w:val="none"/>
                <w:lang w:eastAsia="zh-CN"/>
              </w:rPr>
              <w:t>经销商</w:t>
            </w:r>
            <w:r>
              <w:rPr>
                <w:rFonts w:hint="eastAsia" w:asciiTheme="minorEastAsia" w:hAnsiTheme="minorEastAsia" w:cstheme="minorEastAsia"/>
                <w:color w:val="000000" w:themeColor="text1"/>
                <w:kern w:val="0"/>
                <w:sz w:val="24"/>
                <w:szCs w:val="24"/>
                <w:highlight w:val="none"/>
              </w:rPr>
              <w:t>。</w:t>
            </w:r>
          </w:p>
          <w:p>
            <w:pPr>
              <w:widowControl/>
              <w:numPr>
                <w:ilvl w:val="-1"/>
                <w:numId w:val="0"/>
              </w:numPr>
              <w:shd w:val="clear" w:color="auto" w:fill="FFFFFF"/>
              <w:spacing w:line="360" w:lineRule="auto"/>
              <w:ind w:firstLine="0" w:firstLineChars="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2、</w:t>
            </w:r>
            <w:r>
              <w:rPr>
                <w:rFonts w:hint="eastAsia" w:asciiTheme="minorEastAsia" w:hAnsiTheme="minorEastAsia" w:cstheme="minorEastAsia"/>
                <w:color w:val="000000" w:themeColor="text1"/>
                <w:kern w:val="0"/>
                <w:sz w:val="24"/>
                <w:szCs w:val="24"/>
                <w:highlight w:val="none"/>
              </w:rPr>
              <w:t>注册资金不少于人民币500万元整。</w:t>
            </w:r>
          </w:p>
          <w:p>
            <w:pPr>
              <w:widowControl/>
              <w:numPr>
                <w:ilvl w:val="0"/>
                <w:numId w:val="0"/>
              </w:numPr>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3、</w:t>
            </w: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2年（2018年至今）完成不少于1个类似项目业绩，类似项目是指单项合同金额10万元及以上的</w:t>
            </w:r>
            <w:r>
              <w:rPr>
                <w:rFonts w:hint="eastAsia" w:asciiTheme="minorEastAsia" w:hAnsiTheme="minorEastAsia" w:cstheme="minorEastAsia"/>
                <w:color w:val="000000"/>
                <w:kern w:val="0"/>
                <w:sz w:val="24"/>
                <w:szCs w:val="24"/>
                <w:highlight w:val="none"/>
              </w:rPr>
              <w:t>商品（预拌）混凝土</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4" w:name="_bookmark19"/>
      <w:bookmarkEnd w:id="4"/>
      <w:bookmarkStart w:id="5" w:name="_Toc504981535"/>
      <w:bookmarkStart w:id="6" w:name="_Toc505068457"/>
      <w:bookmarkStart w:id="7" w:name="_Toc526941512"/>
      <w:bookmarkStart w:id="8" w:name="_Toc504913192"/>
      <w:bookmarkStart w:id="9" w:name="_Toc504982660"/>
      <w:bookmarkStart w:id="10" w:name="_Toc505092590"/>
      <w:bookmarkStart w:id="11" w:name="_Toc504980755"/>
      <w:bookmarkStart w:id="12" w:name="_Toc526942366"/>
      <w:r>
        <w:rPr>
          <w:rFonts w:hint="eastAsia" w:asciiTheme="minorEastAsia" w:hAnsiTheme="minorEastAsia" w:cstheme="minorEastAsia"/>
          <w:b/>
          <w:sz w:val="24"/>
          <w:szCs w:val="24"/>
          <w:highlight w:val="none"/>
        </w:rPr>
        <w:t>二、总  则</w:t>
      </w:r>
      <w:bookmarkEnd w:id="5"/>
      <w:bookmarkEnd w:id="6"/>
      <w:bookmarkEnd w:id="7"/>
      <w:bookmarkEnd w:id="8"/>
      <w:bookmarkEnd w:id="9"/>
      <w:bookmarkEnd w:id="10"/>
      <w:bookmarkEnd w:id="11"/>
      <w:bookmarkEnd w:id="12"/>
    </w:p>
    <w:p>
      <w:pPr>
        <w:spacing w:line="360" w:lineRule="auto"/>
        <w:ind w:firstLine="480" w:firstLineChars="200"/>
        <w:outlineLvl w:val="1"/>
        <w:rPr>
          <w:rFonts w:asciiTheme="minorEastAsia" w:hAnsiTheme="minorEastAsia" w:cstheme="minorEastAsia"/>
          <w:sz w:val="24"/>
          <w:szCs w:val="24"/>
          <w:highlight w:val="none"/>
        </w:rPr>
      </w:pPr>
      <w:bookmarkStart w:id="13" w:name="_Toc504981536"/>
      <w:bookmarkStart w:id="14" w:name="_Toc504980756"/>
      <w:bookmarkStart w:id="15" w:name="_Toc217446034"/>
      <w:bookmarkStart w:id="16" w:name="_Toc505092591"/>
      <w:bookmarkStart w:id="17" w:name="_Toc504982661"/>
      <w:bookmarkStart w:id="18" w:name="_Toc505068458"/>
      <w:bookmarkStart w:id="19" w:name="_Toc504913193"/>
      <w:r>
        <w:rPr>
          <w:rFonts w:hint="eastAsia" w:asciiTheme="minorEastAsia" w:hAnsiTheme="minorEastAsia" w:cstheme="minorEastAsia"/>
          <w:sz w:val="24"/>
          <w:szCs w:val="24"/>
          <w:highlight w:val="none"/>
        </w:rPr>
        <w:t>1、适用范围</w:t>
      </w:r>
      <w:bookmarkEnd w:id="13"/>
      <w:bookmarkEnd w:id="14"/>
      <w:bookmarkEnd w:id="15"/>
      <w:bookmarkEnd w:id="16"/>
      <w:bookmarkEnd w:id="17"/>
      <w:bookmarkEnd w:id="18"/>
      <w:bookmarkEnd w:id="19"/>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20" w:name="_Toc183682343"/>
      <w:bookmarkStart w:id="21" w:name="_Toc183582206"/>
      <w:bookmarkStart w:id="22" w:name="_Toc217446035"/>
      <w:bookmarkStart w:id="23" w:name="_Toc504982662"/>
      <w:bookmarkStart w:id="24" w:name="_Toc504913194"/>
      <w:bookmarkStart w:id="25" w:name="_Toc505092592"/>
      <w:bookmarkStart w:id="26" w:name="_Toc504981537"/>
      <w:bookmarkStart w:id="27" w:name="_Toc504980757"/>
      <w:bookmarkStart w:id="28" w:name="_Toc505068459"/>
      <w:r>
        <w:rPr>
          <w:rFonts w:hint="eastAsia" w:asciiTheme="minorEastAsia" w:hAnsiTheme="minorEastAsia" w:cstheme="minorEastAsia"/>
          <w:sz w:val="24"/>
          <w:szCs w:val="24"/>
          <w:highlight w:val="none"/>
        </w:rPr>
        <w:t>2</w:t>
      </w:r>
      <w:bookmarkEnd w:id="20"/>
      <w:bookmarkEnd w:id="21"/>
      <w:r>
        <w:rPr>
          <w:rFonts w:hint="eastAsia" w:asciiTheme="minorEastAsia" w:hAnsiTheme="minorEastAsia" w:cstheme="minorEastAsia"/>
          <w:sz w:val="24"/>
          <w:szCs w:val="24"/>
          <w:highlight w:val="none"/>
        </w:rPr>
        <w:t>、有关定义</w:t>
      </w:r>
      <w:bookmarkEnd w:id="22"/>
      <w:bookmarkEnd w:id="23"/>
      <w:bookmarkEnd w:id="24"/>
      <w:bookmarkEnd w:id="25"/>
      <w:bookmarkEnd w:id="26"/>
      <w:bookmarkEnd w:id="27"/>
      <w:bookmarkEnd w:id="2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“响应人”系指缴纳了比选保证金拟参加本次比选的商品混凝土生产企业或经销商。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9" w:name="_Toc183682344"/>
      <w:bookmarkStart w:id="30" w:name="_Toc217446036"/>
      <w:bookmarkStart w:id="31" w:name="_Toc217390843"/>
      <w:bookmarkStart w:id="32" w:name="_Toc183582207"/>
      <w:bookmarkStart w:id="33" w:name="_Toc504980758"/>
      <w:bookmarkStart w:id="34" w:name="_Toc504981538"/>
      <w:bookmarkStart w:id="35" w:name="_Toc505092593"/>
      <w:bookmarkStart w:id="36" w:name="_Toc504913195"/>
      <w:bookmarkStart w:id="37" w:name="_Toc504982663"/>
      <w:bookmarkStart w:id="38" w:name="_Toc505068460"/>
      <w:r>
        <w:rPr>
          <w:rFonts w:hint="eastAsia" w:asciiTheme="minorEastAsia" w:hAnsiTheme="minorEastAsia" w:cstheme="minorEastAsia"/>
          <w:sz w:val="24"/>
          <w:szCs w:val="24"/>
          <w:highlight w:val="none"/>
        </w:rPr>
        <w:t>3、合格的</w:t>
      </w:r>
      <w:bookmarkEnd w:id="29"/>
      <w:bookmarkEnd w:id="30"/>
      <w:bookmarkEnd w:id="31"/>
      <w:bookmarkEnd w:id="32"/>
      <w:r>
        <w:rPr>
          <w:rFonts w:hint="eastAsia" w:asciiTheme="minorEastAsia" w:hAnsiTheme="minorEastAsia" w:cstheme="minorEastAsia"/>
          <w:sz w:val="24"/>
          <w:szCs w:val="24"/>
          <w:highlight w:val="none"/>
        </w:rPr>
        <w:t>响应人（实质性要求）</w:t>
      </w:r>
      <w:bookmarkEnd w:id="33"/>
      <w:bookmarkEnd w:id="34"/>
      <w:bookmarkEnd w:id="35"/>
      <w:bookmarkEnd w:id="36"/>
      <w:bookmarkEnd w:id="37"/>
      <w:bookmarkEnd w:id="3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9" w:name="_Toc183582208"/>
      <w:bookmarkStart w:id="40" w:name="_Toc217446037"/>
      <w:bookmarkStart w:id="41" w:name="_Toc183682345"/>
      <w:bookmarkStart w:id="42" w:name="_Toc504981539"/>
      <w:bookmarkStart w:id="43" w:name="_Toc504982664"/>
      <w:bookmarkStart w:id="44" w:name="_Toc504980759"/>
      <w:bookmarkStart w:id="45" w:name="_Toc505068461"/>
      <w:bookmarkStart w:id="46" w:name="_Toc504913196"/>
      <w:bookmarkStart w:id="47" w:name="_Toc505092594"/>
      <w:r>
        <w:rPr>
          <w:rFonts w:hint="eastAsia" w:asciiTheme="minorEastAsia" w:hAnsiTheme="minorEastAsia" w:cstheme="minorEastAsia"/>
          <w:sz w:val="24"/>
          <w:szCs w:val="24"/>
          <w:highlight w:val="none"/>
        </w:rPr>
        <w:t>4、响应费用</w:t>
      </w:r>
      <w:bookmarkEnd w:id="39"/>
      <w:bookmarkEnd w:id="40"/>
      <w:bookmarkEnd w:id="41"/>
      <w:r>
        <w:rPr>
          <w:rFonts w:hint="eastAsia" w:asciiTheme="minorEastAsia" w:hAnsiTheme="minorEastAsia" w:cstheme="minorEastAsia"/>
          <w:sz w:val="24"/>
          <w:szCs w:val="24"/>
          <w:highlight w:val="none"/>
        </w:rPr>
        <w:t>（实质性要求）</w:t>
      </w:r>
      <w:bookmarkEnd w:id="42"/>
      <w:bookmarkEnd w:id="43"/>
      <w:bookmarkEnd w:id="44"/>
      <w:bookmarkEnd w:id="45"/>
      <w:bookmarkEnd w:id="46"/>
      <w:bookmarkEnd w:id="4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8" w:name="_Toc89075878"/>
      <w:bookmarkStart w:id="49" w:name="_Toc308164805"/>
      <w:bookmarkStart w:id="50" w:name="_Toc526941515"/>
      <w:bookmarkStart w:id="51" w:name="_Toc217446056"/>
      <w:bookmarkStart w:id="52" w:name="_Toc526942369"/>
      <w:bookmarkStart w:id="53" w:name="_Toc77400782"/>
      <w:bookmarkStart w:id="54" w:name="_Toc183682368"/>
      <w:bookmarkStart w:id="55" w:name="_Toc504982684"/>
      <w:bookmarkStart w:id="56" w:name="_Toc504981559"/>
      <w:bookmarkStart w:id="57" w:name="_Toc504913216"/>
      <w:bookmarkStart w:id="58" w:name="_Toc505092614"/>
      <w:bookmarkStart w:id="59" w:name="_Toc505068481"/>
      <w:bookmarkStart w:id="60" w:name="_Toc504980779"/>
      <w:bookmarkStart w:id="61" w:name="_Toc183582231"/>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183682375"/>
      <w:bookmarkStart w:id="63" w:name="_Toc308164809"/>
      <w:bookmarkStart w:id="64" w:name="_Toc217446063"/>
      <w:bookmarkStart w:id="65" w:name="_Toc183582238"/>
      <w:r>
        <w:rPr>
          <w:rFonts w:hint="eastAsia" w:cs="仿宋_GB2312" w:asciiTheme="minorEastAsia" w:hAnsiTheme="minorEastAsia"/>
          <w:b/>
          <w:sz w:val="24"/>
          <w:szCs w:val="24"/>
          <w:highlight w:val="none"/>
        </w:rPr>
        <w:t>开标、评审、考察、入库</w:t>
      </w:r>
    </w:p>
    <w:p>
      <w:pPr>
        <w:spacing w:line="360" w:lineRule="auto"/>
        <w:ind w:firstLine="480" w:firstLineChars="200"/>
        <w:outlineLvl w:val="2"/>
        <w:rPr>
          <w:rFonts w:cs="仿宋_GB2312" w:asciiTheme="minorEastAsia" w:hAnsiTheme="minorEastAsia"/>
          <w:sz w:val="24"/>
          <w:szCs w:val="24"/>
          <w:highlight w:val="none"/>
        </w:rPr>
      </w:pPr>
      <w:bookmarkStart w:id="66" w:name="_Toc505068482"/>
      <w:bookmarkStart w:id="67" w:name="_Toc308164806"/>
      <w:bookmarkStart w:id="68" w:name="_Toc505092615"/>
      <w:bookmarkStart w:id="69" w:name="_Toc183682369"/>
      <w:bookmarkStart w:id="70" w:name="_Toc504982685"/>
      <w:bookmarkStart w:id="71" w:name="_Toc183582232"/>
      <w:bookmarkStart w:id="72" w:name="_Toc504913217"/>
      <w:bookmarkStart w:id="73" w:name="_Toc504980780"/>
      <w:bookmarkStart w:id="74" w:name="_Toc217446057"/>
      <w:bookmarkStart w:id="75" w:name="_Toc504981560"/>
      <w:r>
        <w:rPr>
          <w:rFonts w:hint="eastAsia" w:cs="仿宋_GB2312" w:asciiTheme="minorEastAsia" w:hAnsiTheme="minorEastAsia"/>
          <w:sz w:val="24"/>
          <w:szCs w:val="24"/>
          <w:highlight w:val="none"/>
        </w:rPr>
        <w:t>1、开标</w:t>
      </w:r>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6" w:name="_Toc504982688"/>
      <w:bookmarkStart w:id="77" w:name="_Toc504980783"/>
      <w:bookmarkStart w:id="78" w:name="_Toc505092618"/>
      <w:bookmarkStart w:id="79" w:name="_Toc505068485"/>
      <w:bookmarkStart w:id="80" w:name="_Toc504913220"/>
      <w:bookmarkStart w:id="81" w:name="_Toc504981563"/>
      <w:r>
        <w:rPr>
          <w:rFonts w:hint="eastAsia" w:cs="仿宋_GB2312" w:asciiTheme="minorEastAsia" w:hAnsiTheme="minorEastAsia"/>
          <w:sz w:val="24"/>
          <w:szCs w:val="24"/>
          <w:highlight w:val="none"/>
        </w:rPr>
        <w:t>2、评</w:t>
      </w:r>
      <w:bookmarkEnd w:id="76"/>
      <w:bookmarkEnd w:id="77"/>
      <w:bookmarkEnd w:id="78"/>
      <w:bookmarkEnd w:id="79"/>
      <w:bookmarkEnd w:id="80"/>
      <w:bookmarkEnd w:id="81"/>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评审小组对所有响应人的响应文件进行资格性、符合性评审，采用合格法确定预备中选人，并向比选人进行推荐，由比选人向预备中选人发考察通知书。</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3、考察</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经比选人实地考察和资格审查合格后，评审和考察结果将在雅安市交通建设（集团）有限责任公司网站公告栏中予以公告。公示期为1个工作日，公示期内无异议，比选人向合格中选人发中选通知书，并纳入企业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公示期满后5个工作日内，比选人通知中选人签订入库协议。若因中选人的原因未在期限内与我公司签订入库协议，则比选保证金不予退还。</w:t>
      </w: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360" w:lineRule="auto"/>
        <w:jc w:val="center"/>
        <w:outlineLvl w:val="1"/>
        <w:rPr>
          <w:rFonts w:ascii="宋体" w:hAnsi="宋体"/>
          <w:sz w:val="30"/>
          <w:szCs w:val="30"/>
          <w:highlight w:val="none"/>
        </w:rPr>
      </w:pPr>
      <w:bookmarkStart w:id="82" w:name="_Toc4058_WPSOffice_Level1"/>
      <w:r>
        <w:rPr>
          <w:rFonts w:hint="eastAsia" w:cs="仿宋_GB2312" w:asciiTheme="minorEastAsia" w:hAnsiTheme="minorEastAsia"/>
          <w:b/>
          <w:sz w:val="30"/>
          <w:szCs w:val="30"/>
          <w:highlight w:val="none"/>
        </w:rPr>
        <w:t xml:space="preserve">第三章  </w:t>
      </w:r>
      <w:r>
        <w:rPr>
          <w:rFonts w:hint="eastAsia"/>
          <w:b/>
          <w:bCs/>
          <w:sz w:val="30"/>
          <w:szCs w:val="30"/>
          <w:highlight w:val="none"/>
        </w:rPr>
        <w:t>商品混凝土供应商入库协议</w:t>
      </w:r>
      <w:bookmarkEnd w:id="82"/>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甲方：</w:t>
      </w:r>
      <w:r>
        <w:rPr>
          <w:rFonts w:hint="eastAsia" w:asciiTheme="minorEastAsia" w:hAnsiTheme="minorEastAsia" w:cstheme="minorEastAsia"/>
          <w:sz w:val="24"/>
          <w:szCs w:val="24"/>
          <w:highlight w:val="none"/>
        </w:rPr>
        <w:t>四川康藏路桥有限责任公司</w:t>
      </w:r>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法定代表人：</w:t>
      </w:r>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 xml:space="preserve">住所：             </w:t>
      </w:r>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 xml:space="preserve">乙方：            </w:t>
      </w:r>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法定代表人：</w:t>
      </w:r>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 xml:space="preserve">住所：             </w:t>
      </w:r>
    </w:p>
    <w:p>
      <w:pPr>
        <w:pStyle w:val="7"/>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bCs/>
          <w:highlight w:val="none"/>
        </w:rPr>
        <w:t>甲</w:t>
      </w:r>
      <w:r>
        <w:rPr>
          <w:rFonts w:hint="eastAsia" w:asciiTheme="minorEastAsia" w:hAnsiTheme="minorEastAsia" w:eastAsiaTheme="minorEastAsia" w:cstheme="minorBidi"/>
          <w:kern w:val="2"/>
          <w:highlight w:val="none"/>
        </w:rPr>
        <w:t>乙双方根据</w:t>
      </w:r>
      <w:r>
        <w:rPr>
          <w:rFonts w:hint="eastAsia" w:asciiTheme="minorEastAsia" w:hAnsiTheme="minorEastAsia" w:cstheme="minorEastAsia"/>
          <w:highlight w:val="none"/>
        </w:rPr>
        <w:t>四川康藏路桥有限责任公司</w:t>
      </w:r>
      <w:r>
        <w:rPr>
          <w:rFonts w:hint="eastAsia" w:asciiTheme="minorEastAsia" w:hAnsiTheme="minorEastAsia" w:eastAsiaTheme="minorEastAsia" w:cstheme="minorBidi"/>
          <w:kern w:val="2"/>
          <w:highlight w:val="none"/>
        </w:rPr>
        <w:t>商品混凝土供应商入库比选结果，依照《中华人民共和国合同法》及有关法律、行政法规，遵循平等、自愿、公平和诚实信用的原则，为明确双方在业务开展中的具体权利、义务，经双方共同协商，特签订以下合同条款：</w:t>
      </w:r>
    </w:p>
    <w:p>
      <w:pPr>
        <w:pStyle w:val="7"/>
        <w:numPr>
          <w:ilvl w:val="0"/>
          <w:numId w:val="5"/>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入库期限: 1年。自2019年11月   日至2020年11月   日止。</w:t>
      </w:r>
    </w:p>
    <w:p>
      <w:pPr>
        <w:pStyle w:val="7"/>
        <w:numPr>
          <w:ilvl w:val="0"/>
          <w:numId w:val="5"/>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供应商库协议期内，甲方根据采购需求、资金预算和采购周期对供应商库内的企业组织进行招标、询价或竞争性谈判等招标采购，乙方接到甲方的招标、询价或竞争性谈判等邀请后，必须按要求准时参加</w:t>
      </w:r>
      <w:r>
        <w:rPr>
          <w:rFonts w:hint="eastAsia" w:asciiTheme="minorEastAsia" w:hAnsiTheme="minorEastAsia" w:eastAsiaTheme="minorEastAsia" w:cstheme="minorBidi"/>
          <w:kern w:val="2"/>
          <w:highlight w:val="none"/>
          <w:lang w:eastAsia="zh-CN"/>
        </w:rPr>
        <w:t>响应</w:t>
      </w:r>
      <w:r>
        <w:rPr>
          <w:rFonts w:hint="eastAsia" w:asciiTheme="minorEastAsia" w:hAnsiTheme="minorEastAsia" w:eastAsiaTheme="minorEastAsia" w:cstheme="minorBidi"/>
          <w:kern w:val="2"/>
          <w:highlight w:val="none"/>
        </w:rPr>
        <w:t>、询价报价或竞争性谈判等活动，如无正当理由拒绝参加，视为自动放弃供应商库资格。</w:t>
      </w:r>
    </w:p>
    <w:p>
      <w:pPr>
        <w:pStyle w:val="7"/>
        <w:numPr>
          <w:ilvl w:val="0"/>
          <w:numId w:val="5"/>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甲方可以经招标、询价或竞争性谈判方式确定具体供应商，签订《XX项目钢材采购协议》。</w:t>
      </w:r>
    </w:p>
    <w:p>
      <w:pPr>
        <w:pStyle w:val="7"/>
        <w:numPr>
          <w:ilvl w:val="0"/>
          <w:numId w:val="5"/>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入库协议期满后，乙方如无违约等行为或未被甲方列入不可合作名单可自动进入下一个协议期，但需重新签署入库协议。</w:t>
      </w:r>
    </w:p>
    <w:p>
      <w:pPr>
        <w:pStyle w:val="7"/>
        <w:numPr>
          <w:ilvl w:val="0"/>
          <w:numId w:val="5"/>
        </w:numPr>
        <w:spacing w:before="0" w:beforeAutospacing="0" w:after="0" w:afterAutospacing="0" w:line="360" w:lineRule="auto"/>
        <w:ind w:firstLine="482" w:firstLineChars="200"/>
        <w:outlineLvl w:val="1"/>
        <w:rPr>
          <w:rFonts w:asciiTheme="minorEastAsia" w:hAnsiTheme="minorEastAsia" w:eastAsiaTheme="minorEastAsia" w:cstheme="minorBidi"/>
          <w:b/>
          <w:kern w:val="2"/>
          <w:highlight w:val="none"/>
        </w:rPr>
      </w:pPr>
      <w:r>
        <w:rPr>
          <w:rFonts w:hint="eastAsia" w:asciiTheme="minorEastAsia" w:hAnsiTheme="minorEastAsia" w:eastAsiaTheme="minorEastAsia" w:cstheme="minorBidi"/>
          <w:b/>
          <w:kern w:val="2"/>
          <w:highlight w:val="none"/>
        </w:rPr>
        <w:t>乙方承诺</w:t>
      </w:r>
    </w:p>
    <w:p>
      <w:pPr>
        <w:pStyle w:val="7"/>
        <w:numPr>
          <w:ilvl w:val="0"/>
          <w:numId w:val="6"/>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乙方承诺将比选保证金自动转为入库履约保证金。协议期届满乙方如不再继续续签入库协议，同意本《入库协议》规定的履约期届满后7个工作日内，甲方无息原额退还入库履约保证金。</w:t>
      </w:r>
    </w:p>
    <w:p>
      <w:pPr>
        <w:pStyle w:val="7"/>
        <w:numPr>
          <w:ilvl w:val="0"/>
          <w:numId w:val="6"/>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乙方承诺其提供的产品品质不低于：国家、行业标准及相关企业标准。乙方保证主材、辅材的质量都必须符合国家相应现行有关钢材的标准、规范。上述标准要求之间如不一致，以要求较高者为本协议执行标准。</w:t>
      </w:r>
    </w:p>
    <w:p>
      <w:pPr>
        <w:pStyle w:val="7"/>
        <w:numPr>
          <w:ilvl w:val="0"/>
          <w:numId w:val="6"/>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乙方承诺提供的产品应满足甲方要求并与具体合同约定的品牌、规格、供货时间、供货方式、结算形式等要求相符合。</w:t>
      </w:r>
    </w:p>
    <w:p>
      <w:pPr>
        <w:pStyle w:val="7"/>
        <w:numPr>
          <w:ilvl w:val="0"/>
          <w:numId w:val="5"/>
        </w:numPr>
        <w:spacing w:before="0" w:beforeAutospacing="0" w:after="0" w:afterAutospacing="0" w:line="360" w:lineRule="auto"/>
        <w:ind w:firstLine="482" w:firstLineChars="200"/>
        <w:outlineLvl w:val="1"/>
        <w:rPr>
          <w:rFonts w:asciiTheme="minorEastAsia" w:hAnsiTheme="minorEastAsia" w:eastAsiaTheme="minorEastAsia" w:cstheme="minorBidi"/>
          <w:b/>
          <w:kern w:val="2"/>
          <w:highlight w:val="none"/>
        </w:rPr>
      </w:pPr>
      <w:r>
        <w:rPr>
          <w:rFonts w:hint="eastAsia" w:asciiTheme="minorEastAsia" w:hAnsiTheme="minorEastAsia" w:eastAsiaTheme="minorEastAsia" w:cstheme="minorBidi"/>
          <w:b/>
          <w:kern w:val="2"/>
          <w:highlight w:val="none"/>
        </w:rPr>
        <w:t>违约责任</w:t>
      </w:r>
    </w:p>
    <w:p>
      <w:pPr>
        <w:pStyle w:val="7"/>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乙方在履行《入库协议》期间，或者在具体履行供货业务的过程中，出现下列情形之一的，甲方将视违约内容扣除直至没收入库履约保证金和采购合同履约保证金，情形严重的，取消乙方入库资格，将乙方列入不良供应商名单，不予合作。</w:t>
      </w:r>
    </w:p>
    <w:p>
      <w:pPr>
        <w:pStyle w:val="7"/>
        <w:numPr>
          <w:ilvl w:val="0"/>
          <w:numId w:val="7"/>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擅自更改或者终止《入库协议》的。</w:t>
      </w:r>
    </w:p>
    <w:p>
      <w:pPr>
        <w:pStyle w:val="7"/>
        <w:numPr>
          <w:ilvl w:val="0"/>
          <w:numId w:val="7"/>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协议期内不响应甲方</w:t>
      </w:r>
      <w:r>
        <w:rPr>
          <w:rFonts w:hint="eastAsia" w:asciiTheme="minorEastAsia" w:hAnsiTheme="minorEastAsia" w:eastAsiaTheme="minorEastAsia" w:cstheme="minorBidi"/>
          <w:kern w:val="2"/>
          <w:highlight w:val="none"/>
          <w:lang w:eastAsia="zh-CN"/>
        </w:rPr>
        <w:t>响应</w:t>
      </w:r>
      <w:r>
        <w:rPr>
          <w:rFonts w:hint="eastAsia" w:asciiTheme="minorEastAsia" w:hAnsiTheme="minorEastAsia" w:eastAsiaTheme="minorEastAsia" w:cstheme="minorBidi"/>
          <w:kern w:val="2"/>
          <w:highlight w:val="none"/>
        </w:rPr>
        <w:t>、询价或者竞争性谈判等招标采购活动的。</w:t>
      </w:r>
    </w:p>
    <w:p>
      <w:pPr>
        <w:pStyle w:val="7"/>
        <w:numPr>
          <w:ilvl w:val="0"/>
          <w:numId w:val="7"/>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提供假冒伪劣产品或存在重大质量问题的。</w:t>
      </w:r>
    </w:p>
    <w:p>
      <w:pPr>
        <w:pStyle w:val="7"/>
        <w:numPr>
          <w:ilvl w:val="0"/>
          <w:numId w:val="7"/>
        </w:numPr>
        <w:spacing w:before="0" w:beforeAutospacing="0" w:after="0" w:afterAutospacing="0" w:line="360" w:lineRule="auto"/>
        <w:ind w:firstLine="480" w:firstLineChars="200"/>
        <w:outlineLvl w:val="1"/>
        <w:rPr>
          <w:rFonts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无故拖延供货并拒不改正的。</w:t>
      </w:r>
    </w:p>
    <w:p>
      <w:pPr>
        <w:spacing w:line="360" w:lineRule="auto"/>
        <w:ind w:firstLine="482" w:firstLineChars="200"/>
        <w:jc w:val="left"/>
        <w:outlineLvl w:val="1"/>
        <w:rPr>
          <w:rFonts w:asciiTheme="minorEastAsia" w:hAnsiTheme="minorEastAsia"/>
          <w:b/>
          <w:sz w:val="24"/>
          <w:szCs w:val="24"/>
          <w:highlight w:val="none"/>
        </w:rPr>
      </w:pPr>
      <w:r>
        <w:rPr>
          <w:rFonts w:hint="eastAsia" w:asciiTheme="minorEastAsia" w:hAnsiTheme="minorEastAsia"/>
          <w:b/>
          <w:sz w:val="24"/>
          <w:szCs w:val="24"/>
          <w:highlight w:val="none"/>
        </w:rPr>
        <w:t>七、不可抗力</w:t>
      </w:r>
    </w:p>
    <w:p>
      <w:pPr>
        <w:spacing w:line="360" w:lineRule="auto"/>
        <w:ind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360" w:lineRule="auto"/>
        <w:ind w:firstLine="482" w:firstLineChars="200"/>
        <w:jc w:val="left"/>
        <w:outlineLvl w:val="1"/>
        <w:rPr>
          <w:rFonts w:asciiTheme="minorEastAsia" w:hAnsiTheme="minorEastAsia"/>
          <w:b/>
          <w:sz w:val="24"/>
          <w:szCs w:val="24"/>
          <w:highlight w:val="none"/>
        </w:rPr>
      </w:pPr>
      <w:r>
        <w:rPr>
          <w:rFonts w:hint="eastAsia" w:asciiTheme="minorEastAsia" w:hAnsiTheme="minorEastAsia"/>
          <w:b/>
          <w:sz w:val="24"/>
          <w:szCs w:val="24"/>
          <w:highlight w:val="none"/>
        </w:rPr>
        <w:t>八、其他</w:t>
      </w:r>
    </w:p>
    <w:p>
      <w:pPr>
        <w:spacing w:line="360" w:lineRule="auto"/>
        <w:ind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本合同协议自双方签字并盖章之日起生效，此协议一式贰份，双方各执壹份，具有同等法律效力。</w:t>
      </w:r>
    </w:p>
    <w:p>
      <w:pPr>
        <w:spacing w:line="360" w:lineRule="auto"/>
        <w:ind w:firstLine="482" w:firstLineChars="200"/>
        <w:jc w:val="left"/>
        <w:outlineLvl w:val="1"/>
        <w:rPr>
          <w:rFonts w:asciiTheme="minorEastAsia" w:hAnsiTheme="minorEastAsia"/>
          <w:b/>
          <w:sz w:val="24"/>
          <w:szCs w:val="24"/>
          <w:highlight w:val="none"/>
        </w:rPr>
      </w:pPr>
      <w:r>
        <w:rPr>
          <w:rFonts w:hint="eastAsia" w:asciiTheme="minorEastAsia" w:hAnsiTheme="minorEastAsia"/>
          <w:b/>
          <w:sz w:val="24"/>
          <w:szCs w:val="24"/>
          <w:highlight w:val="none"/>
        </w:rPr>
        <w:t>九、争议解决</w:t>
      </w:r>
    </w:p>
    <w:p>
      <w:pPr>
        <w:spacing w:line="360" w:lineRule="auto"/>
        <w:ind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因执行本协议所发生的或与本协议有关的一切争议，双方应通过友好协商解决，如双方通过协商不能达成协议时，向甲方所在地人民法院提起诉讼解决。</w:t>
      </w:r>
    </w:p>
    <w:p>
      <w:pPr>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（以下无正文）</w:t>
      </w:r>
    </w:p>
    <w:p>
      <w:pPr>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甲方（盖章）：</w:t>
      </w:r>
      <w:r>
        <w:rPr>
          <w:rFonts w:hint="eastAsia" w:asciiTheme="minorEastAsia" w:hAnsiTheme="minorEastAsia" w:cstheme="minorEastAsia"/>
          <w:sz w:val="24"/>
          <w:szCs w:val="24"/>
          <w:highlight w:val="none"/>
        </w:rPr>
        <w:t>四川康藏路桥有限责任公司</w:t>
      </w:r>
    </w:p>
    <w:p>
      <w:pPr>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法人或委托代理人（签字）：</w:t>
      </w:r>
    </w:p>
    <w:p>
      <w:pPr>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签字时间：   年  月  日</w:t>
      </w:r>
    </w:p>
    <w:p>
      <w:pPr>
        <w:spacing w:line="360" w:lineRule="auto"/>
        <w:jc w:val="center"/>
        <w:rPr>
          <w:rFonts w:cs="仿宋_GB2312" w:asciiTheme="minorEastAsia" w:hAnsiTheme="minorEastAsia"/>
          <w:b/>
          <w:sz w:val="24"/>
          <w:szCs w:val="24"/>
          <w:highlight w:val="none"/>
        </w:rPr>
      </w:pPr>
    </w:p>
    <w:p>
      <w:pPr>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乙方（盖章）： </w:t>
      </w:r>
    </w:p>
    <w:p>
      <w:pPr>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法人或委托代理人（签字）：</w:t>
      </w:r>
    </w:p>
    <w:p>
      <w:pPr>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签字时间：   年  月  日</w:t>
      </w:r>
    </w:p>
    <w:p>
      <w:pPr>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2"/>
    <w:bookmarkEnd w:id="63"/>
    <w:bookmarkEnd w:id="64"/>
    <w:bookmarkEnd w:id="65"/>
    <w:p>
      <w:pPr>
        <w:jc w:val="center"/>
        <w:outlineLvl w:val="0"/>
        <w:rPr>
          <w:rFonts w:asciiTheme="minorEastAsia" w:hAnsiTheme="minorEastAsia" w:cstheme="minorEastAsia"/>
          <w:b/>
          <w:sz w:val="30"/>
          <w:szCs w:val="30"/>
          <w:highlight w:val="none"/>
        </w:rPr>
      </w:pPr>
      <w:bookmarkStart w:id="83" w:name="_Toc504982707"/>
      <w:bookmarkStart w:id="84" w:name="_Toc534980336"/>
      <w:bookmarkStart w:id="85" w:name="_Toc508783016"/>
      <w:bookmarkStart w:id="86" w:name="_Toc13124_WPSOffice_Level1"/>
      <w:bookmarkStart w:id="87" w:name="_Toc504913239"/>
      <w:bookmarkStart w:id="88" w:name="_Toc504981582"/>
      <w:bookmarkStart w:id="89" w:name="_Toc507243818"/>
      <w:bookmarkStart w:id="90" w:name="_Toc504980802"/>
      <w:bookmarkStart w:id="91" w:name="_Toc505092637"/>
      <w:bookmarkStart w:id="92" w:name="_Toc505068504"/>
      <w:bookmarkStart w:id="93" w:name="_Toc217446083"/>
      <w:r>
        <w:rPr>
          <w:rFonts w:hint="eastAsia" w:asciiTheme="minorEastAsia" w:hAnsiTheme="minorEastAsia" w:cstheme="minorEastAsia"/>
          <w:b/>
          <w:sz w:val="30"/>
          <w:szCs w:val="30"/>
          <w:highlight w:val="none"/>
        </w:rPr>
        <w:t>第四章  响应性文件格式</w:t>
      </w:r>
      <w:bookmarkEnd w:id="83"/>
      <w:bookmarkEnd w:id="84"/>
      <w:bookmarkEnd w:id="85"/>
      <w:bookmarkEnd w:id="86"/>
      <w:bookmarkEnd w:id="87"/>
      <w:bookmarkEnd w:id="88"/>
      <w:bookmarkEnd w:id="89"/>
      <w:bookmarkEnd w:id="90"/>
      <w:bookmarkEnd w:id="91"/>
      <w:bookmarkEnd w:id="92"/>
      <w:bookmarkStart w:id="94" w:name="_Toc217446082"/>
      <w:bookmarkStart w:id="95" w:name="_Toc308164821"/>
    </w:p>
    <w:p>
      <w:pPr>
        <w:spacing w:line="360" w:lineRule="auto"/>
        <w:ind w:firstLine="480" w:firstLineChars="200"/>
        <w:rPr>
          <w:rFonts w:asciiTheme="minorEastAsia" w:hAnsiTheme="minorEastAsia" w:cstheme="minorEastAsia"/>
          <w:sz w:val="24"/>
          <w:szCs w:val="24"/>
          <w:highlight w:val="none"/>
        </w:rPr>
      </w:pPr>
      <w:bookmarkStart w:id="96" w:name="_Toc504981583"/>
      <w:bookmarkStart w:id="97" w:name="_Toc506210295"/>
      <w:bookmarkStart w:id="98" w:name="_Toc504980803"/>
      <w:bookmarkStart w:id="99" w:name="_Toc505068505"/>
      <w:bookmarkStart w:id="100" w:name="_Toc505092638"/>
      <w:bookmarkStart w:id="101" w:name="_Toc504982708"/>
      <w:bookmarkStart w:id="102" w:name="_Toc504913240"/>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6"/>
      <w:bookmarkEnd w:id="97"/>
      <w:bookmarkEnd w:id="98"/>
      <w:bookmarkEnd w:id="99"/>
      <w:bookmarkEnd w:id="100"/>
      <w:bookmarkEnd w:id="101"/>
      <w:bookmarkEnd w:id="102"/>
    </w:p>
    <w:p>
      <w:pPr>
        <w:spacing w:line="360" w:lineRule="auto"/>
        <w:ind w:firstLine="480" w:firstLineChars="200"/>
        <w:rPr>
          <w:rFonts w:asciiTheme="minorEastAsia" w:hAnsiTheme="minorEastAsia" w:cstheme="minorEastAsia"/>
          <w:sz w:val="24"/>
          <w:szCs w:val="24"/>
          <w:highlight w:val="none"/>
        </w:rPr>
      </w:pPr>
      <w:bookmarkStart w:id="103" w:name="_Toc505092640"/>
      <w:bookmarkStart w:id="104" w:name="_Toc504981585"/>
      <w:bookmarkStart w:id="105" w:name="_Toc504982710"/>
      <w:bookmarkStart w:id="106" w:name="_Toc504980805"/>
      <w:bookmarkStart w:id="107" w:name="_Toc504913242"/>
      <w:bookmarkStart w:id="108" w:name="_Toc506210297"/>
      <w:bookmarkStart w:id="109" w:name="_Toc505068507"/>
      <w:r>
        <w:rPr>
          <w:rFonts w:hint="eastAsia" w:asciiTheme="minorEastAsia" w:hAnsiTheme="minorEastAsia" w:cstheme="minorEastAsia"/>
          <w:sz w:val="24"/>
          <w:szCs w:val="24"/>
          <w:highlight w:val="none"/>
        </w:rPr>
        <w:t>二、</w:t>
      </w:r>
      <w:bookmarkEnd w:id="103"/>
      <w:bookmarkEnd w:id="104"/>
      <w:bookmarkEnd w:id="105"/>
      <w:bookmarkEnd w:id="106"/>
      <w:bookmarkEnd w:id="107"/>
      <w:bookmarkEnd w:id="108"/>
      <w:bookmarkEnd w:id="109"/>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10" w:name="_Toc504980806"/>
      <w:bookmarkStart w:id="111" w:name="_Toc504981586"/>
      <w:bookmarkStart w:id="112" w:name="_Toc526941521"/>
      <w:bookmarkStart w:id="113" w:name="_Toc504913243"/>
      <w:bookmarkStart w:id="114" w:name="_Toc504982711"/>
      <w:bookmarkStart w:id="115" w:name="_Toc505068508"/>
      <w:bookmarkStart w:id="116" w:name="_Toc505092641"/>
      <w:bookmarkStart w:id="117" w:name="_Toc527106620"/>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4"/>
      <w:bookmarkEnd w:id="95"/>
      <w:bookmarkEnd w:id="110"/>
      <w:bookmarkEnd w:id="111"/>
      <w:bookmarkEnd w:id="112"/>
      <w:bookmarkEnd w:id="113"/>
      <w:bookmarkEnd w:id="114"/>
      <w:bookmarkEnd w:id="115"/>
      <w:bookmarkEnd w:id="116"/>
      <w:bookmarkEnd w:id="117"/>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二、一旦我方中选，我方将积极配合参加贵公司所组织的商品混凝土采购业务。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五、我方承诺，若以后贵公司与我方开展商品混凝土采购业务，我方将按贵公司要求的型号，按期保质保量提供产品。若违反合同约定，我方承诺放弃履约保证金，并愿意承担一切行政、经济后果。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8" w:name="_Toc526941523"/>
      <w:bookmarkStart w:id="119" w:name="_Toc505068510"/>
      <w:bookmarkStart w:id="120" w:name="_Toc505092643"/>
      <w:bookmarkStart w:id="121" w:name="_Toc504981588"/>
      <w:bookmarkStart w:id="122" w:name="_Toc527106622"/>
      <w:bookmarkStart w:id="123" w:name="_Toc504980808"/>
      <w:bookmarkStart w:id="124" w:name="_Toc504913245"/>
      <w:bookmarkStart w:id="125" w:name="_Toc504982713"/>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商品混凝土采购供应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商品混凝土采购供应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商品混凝土采购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商品混凝土供应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商品混凝土供应中出现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val="en-US"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3"/>
      <w:bookmarkEnd w:id="118"/>
      <w:bookmarkEnd w:id="119"/>
      <w:bookmarkEnd w:id="120"/>
      <w:bookmarkEnd w:id="121"/>
      <w:bookmarkEnd w:id="122"/>
      <w:bookmarkEnd w:id="123"/>
      <w:bookmarkEnd w:id="124"/>
      <w:bookmarkEnd w:id="125"/>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6"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6"/>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商品混凝土供应业绩表</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商品混凝土供应数量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商品混凝土供应情况综合描述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7" w:name="_Toc534980340"/>
      <w:bookmarkStart w:id="128" w:name="_Toc505068529"/>
      <w:bookmarkStart w:id="129" w:name="_Toc504913327"/>
      <w:bookmarkStart w:id="130" w:name="_Toc507243822"/>
      <w:bookmarkStart w:id="131" w:name="_Toc504981606"/>
      <w:bookmarkStart w:id="132" w:name="_Toc504982731"/>
      <w:bookmarkStart w:id="133" w:name="_Toc505092662"/>
      <w:bookmarkStart w:id="134" w:name="_Toc504980826"/>
      <w:bookmarkStart w:id="135" w:name="_Toc9975_WPSOffice_Level1"/>
      <w:bookmarkStart w:id="136" w:name="_Toc508783020"/>
      <w:r>
        <w:rPr>
          <w:rFonts w:hint="eastAsia" w:asciiTheme="minorEastAsia" w:hAnsiTheme="minorEastAsia" w:cstheme="minorEastAsia"/>
          <w:b/>
          <w:sz w:val="30"/>
          <w:szCs w:val="30"/>
          <w:highlight w:val="none"/>
        </w:rPr>
        <w:t>第五章  评审办法</w:t>
      </w:r>
      <w:bookmarkEnd w:id="127"/>
      <w:bookmarkEnd w:id="128"/>
      <w:bookmarkEnd w:id="129"/>
      <w:bookmarkEnd w:id="130"/>
      <w:bookmarkEnd w:id="131"/>
      <w:bookmarkEnd w:id="132"/>
      <w:bookmarkEnd w:id="133"/>
      <w:bookmarkEnd w:id="134"/>
      <w:bookmarkEnd w:id="135"/>
      <w:bookmarkEnd w:id="136"/>
      <w:bookmarkStart w:id="137" w:name="_Hlt101846155"/>
      <w:bookmarkEnd w:id="137"/>
      <w:bookmarkStart w:id="138" w:name="_Toc183682415"/>
      <w:bookmarkStart w:id="139" w:name="_Toc217446097"/>
      <w:bookmarkStart w:id="140" w:name="_Toc183582280"/>
      <w:bookmarkStart w:id="141" w:name="_Toc208849007"/>
    </w:p>
    <w:p>
      <w:pPr>
        <w:ind w:firstLine="600" w:firstLineChars="200"/>
        <w:outlineLvl w:val="1"/>
        <w:rPr>
          <w:rFonts w:asciiTheme="minorEastAsia" w:hAnsiTheme="minorEastAsia" w:cstheme="minorEastAsia"/>
          <w:sz w:val="30"/>
          <w:szCs w:val="30"/>
          <w:highlight w:val="none"/>
        </w:rPr>
      </w:pPr>
      <w:bookmarkStart w:id="142" w:name="_Toc505092663"/>
      <w:bookmarkStart w:id="143" w:name="_Toc505068530"/>
      <w:bookmarkStart w:id="144" w:name="_Toc504981607"/>
      <w:bookmarkStart w:id="145" w:name="_Toc527106644"/>
      <w:bookmarkStart w:id="146" w:name="_Toc504982732"/>
      <w:bookmarkStart w:id="147" w:name="_Toc504913328"/>
      <w:bookmarkStart w:id="148" w:name="_Toc526942398"/>
      <w:bookmarkStart w:id="149" w:name="_Toc504980827"/>
      <w:r>
        <w:rPr>
          <w:rFonts w:hint="eastAsia" w:asciiTheme="minorEastAsia" w:hAnsiTheme="minorEastAsia" w:cstheme="minorEastAsia"/>
          <w:sz w:val="30"/>
          <w:szCs w:val="30"/>
          <w:highlight w:val="none"/>
        </w:rPr>
        <w:t>一、总则</w:t>
      </w:r>
      <w:bookmarkEnd w:id="138"/>
      <w:bookmarkEnd w:id="139"/>
      <w:bookmarkEnd w:id="140"/>
      <w:bookmarkEnd w:id="141"/>
      <w:bookmarkEnd w:id="142"/>
      <w:bookmarkEnd w:id="143"/>
      <w:bookmarkEnd w:id="144"/>
      <w:bookmarkEnd w:id="145"/>
      <w:bookmarkEnd w:id="146"/>
      <w:bookmarkEnd w:id="147"/>
      <w:bookmarkEnd w:id="148"/>
      <w:bookmarkEnd w:id="149"/>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50"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1" w:name="_Toc504980828"/>
      <w:bookmarkStart w:id="152" w:name="_Toc504982733"/>
      <w:bookmarkStart w:id="153" w:name="_Toc504981608"/>
      <w:bookmarkStart w:id="154" w:name="_Toc526942399"/>
      <w:bookmarkStart w:id="155" w:name="_Toc505092664"/>
      <w:bookmarkStart w:id="156" w:name="_Toc504913329"/>
      <w:bookmarkStart w:id="157" w:name="_Toc505068531"/>
      <w:bookmarkStart w:id="158" w:name="_Toc527106645"/>
      <w:r>
        <w:rPr>
          <w:rFonts w:hint="eastAsia" w:asciiTheme="minorEastAsia" w:hAnsiTheme="minorEastAsia" w:cstheme="minorEastAsia"/>
          <w:sz w:val="30"/>
          <w:szCs w:val="30"/>
          <w:highlight w:val="none"/>
        </w:rPr>
        <w:t>二、评审方法</w:t>
      </w:r>
      <w:bookmarkEnd w:id="151"/>
      <w:bookmarkEnd w:id="152"/>
      <w:bookmarkEnd w:id="153"/>
      <w:bookmarkEnd w:id="154"/>
      <w:bookmarkEnd w:id="155"/>
      <w:bookmarkEnd w:id="156"/>
      <w:bookmarkEnd w:id="157"/>
      <w:bookmarkEnd w:id="15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50"/>
    <w:p>
      <w:pPr>
        <w:rPr>
          <w:rFonts w:ascii="仿宋_GB2312" w:hAnsi="仿宋_GB2312" w:eastAsia="仿宋_GB2312" w:cs="仿宋_GB2312"/>
          <w:sz w:val="30"/>
          <w:szCs w:val="30"/>
          <w:highlight w:val="none"/>
        </w:rPr>
      </w:pPr>
    </w:p>
    <w:p>
      <w:pPr>
        <w:rPr>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E9D2A06B"/>
    <w:multiLevelType w:val="singleLevel"/>
    <w:tmpl w:val="E9D2A06B"/>
    <w:lvl w:ilvl="0" w:tentative="0">
      <w:start w:val="1"/>
      <w:numFmt w:val="chineseCounting"/>
      <w:suff w:val="nothing"/>
      <w:lvlText w:val="%1、"/>
      <w:lvlJc w:val="left"/>
      <w:rPr>
        <w:rFonts w:hint="eastAsia"/>
      </w:rPr>
    </w:lvl>
  </w:abstractNum>
  <w:abstractNum w:abstractNumId="3">
    <w:nsid w:val="060E37CE"/>
    <w:multiLevelType w:val="singleLevel"/>
    <w:tmpl w:val="060E37CE"/>
    <w:lvl w:ilvl="0" w:tentative="0">
      <w:start w:val="1"/>
      <w:numFmt w:val="decimal"/>
      <w:suff w:val="nothing"/>
      <w:lvlText w:val="%1、"/>
      <w:lvlJc w:val="left"/>
    </w:lvl>
  </w:abstractNum>
  <w:abstractNum w:abstractNumId="4">
    <w:nsid w:val="114B545B"/>
    <w:multiLevelType w:val="singleLevel"/>
    <w:tmpl w:val="114B545B"/>
    <w:lvl w:ilvl="0" w:tentative="0">
      <w:start w:val="1"/>
      <w:numFmt w:val="decimal"/>
      <w:suff w:val="nothing"/>
      <w:lvlText w:val="%1、"/>
      <w:lvlJc w:val="left"/>
    </w:lvl>
  </w:abstractNum>
  <w:abstractNum w:abstractNumId="5">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6">
    <w:nsid w:val="764BB766"/>
    <w:multiLevelType w:val="singleLevel"/>
    <w:tmpl w:val="764BB766"/>
    <w:lvl w:ilvl="0" w:tentative="0">
      <w:start w:val="1"/>
      <w:numFmt w:val="decimal"/>
      <w:suff w:val="nothing"/>
      <w:lvlText w:val="%1、"/>
      <w:lvlJc w:val="left"/>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2274A"/>
    <w:rsid w:val="00127387"/>
    <w:rsid w:val="0017218E"/>
    <w:rsid w:val="00197424"/>
    <w:rsid w:val="001F11A9"/>
    <w:rsid w:val="00201C99"/>
    <w:rsid w:val="00206553"/>
    <w:rsid w:val="00220E55"/>
    <w:rsid w:val="0023364C"/>
    <w:rsid w:val="002B69A9"/>
    <w:rsid w:val="00340208"/>
    <w:rsid w:val="003564BD"/>
    <w:rsid w:val="003B2AAB"/>
    <w:rsid w:val="003E132A"/>
    <w:rsid w:val="003E785E"/>
    <w:rsid w:val="004E796E"/>
    <w:rsid w:val="00521B13"/>
    <w:rsid w:val="00524E67"/>
    <w:rsid w:val="00570D3E"/>
    <w:rsid w:val="005F1E75"/>
    <w:rsid w:val="00601F11"/>
    <w:rsid w:val="006740E4"/>
    <w:rsid w:val="006B343C"/>
    <w:rsid w:val="0073004C"/>
    <w:rsid w:val="0079773F"/>
    <w:rsid w:val="0080570C"/>
    <w:rsid w:val="00892FF2"/>
    <w:rsid w:val="00A05FA6"/>
    <w:rsid w:val="00AB0461"/>
    <w:rsid w:val="00AE6C2B"/>
    <w:rsid w:val="00B12F08"/>
    <w:rsid w:val="00B1790F"/>
    <w:rsid w:val="00B60400"/>
    <w:rsid w:val="00B74EDD"/>
    <w:rsid w:val="00BF69DD"/>
    <w:rsid w:val="00C01B04"/>
    <w:rsid w:val="00C229C9"/>
    <w:rsid w:val="00CA714B"/>
    <w:rsid w:val="00CE0E88"/>
    <w:rsid w:val="00D0646E"/>
    <w:rsid w:val="00D75CA0"/>
    <w:rsid w:val="00DF671D"/>
    <w:rsid w:val="00E55B95"/>
    <w:rsid w:val="00E83A93"/>
    <w:rsid w:val="00EB3446"/>
    <w:rsid w:val="00ED5E27"/>
    <w:rsid w:val="00ED6E0C"/>
    <w:rsid w:val="00F25A8F"/>
    <w:rsid w:val="00F749EB"/>
    <w:rsid w:val="00FA0C3A"/>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E302BD5"/>
    <w:rsid w:val="32AE3424"/>
    <w:rsid w:val="34D91902"/>
    <w:rsid w:val="39C33511"/>
    <w:rsid w:val="3A185013"/>
    <w:rsid w:val="40911DFE"/>
    <w:rsid w:val="44097BC4"/>
    <w:rsid w:val="461B206A"/>
    <w:rsid w:val="47DA2B34"/>
    <w:rsid w:val="49FB4ACC"/>
    <w:rsid w:val="51D5672B"/>
    <w:rsid w:val="595B58D6"/>
    <w:rsid w:val="59B7451E"/>
    <w:rsid w:val="5CF23F86"/>
    <w:rsid w:val="5E7C6D6D"/>
    <w:rsid w:val="62093A23"/>
    <w:rsid w:val="654E4CE1"/>
    <w:rsid w:val="69CE1B9A"/>
    <w:rsid w:val="6AF3428A"/>
    <w:rsid w:val="6DC57248"/>
    <w:rsid w:val="7444528A"/>
    <w:rsid w:val="7AD8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qFormat/>
    <w:uiPriority w:val="0"/>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Calibri" w:hAnsi="Calibri" w:eastAsia="宋体" w:cs="Calibri"/>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uiPriority w:val="99"/>
    <w:rPr>
      <w:rFonts w:asciiTheme="minorHAnsi" w:hAnsiTheme="minorHAnsi" w:eastAsiaTheme="minorEastAsia" w:cstheme="minorBidi"/>
      <w:kern w:val="2"/>
      <w:sz w:val="18"/>
      <w:szCs w:val="18"/>
    </w:rPr>
  </w:style>
  <w:style w:type="character" w:customStyle="1" w:styleId="15">
    <w:name w:val="批注框文本 Char"/>
    <w:basedOn w:val="10"/>
    <w:link w:val="4"/>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1192</Words>
  <Characters>6798</Characters>
  <Lines>56</Lines>
  <Paragraphs>15</Paragraphs>
  <TotalTime>1</TotalTime>
  <ScaleCrop>false</ScaleCrop>
  <LinksUpToDate>false</LinksUpToDate>
  <CharactersWithSpaces>7975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2019-09-17T05:06:00Z</cp:lastPrinted>
  <dcterms:modified xsi:type="dcterms:W3CDTF">2019-10-25T09:07:28Z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