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B48E"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 w14:paraId="2E2E29A6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雅安交建集团大兴交通开发有限公司</w:t>
      </w:r>
    </w:p>
    <w:p w14:paraId="34772FF8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雅安市城市综合停车场水中坝综合停车场及配套用房招租报价单</w:t>
      </w:r>
    </w:p>
    <w:p w14:paraId="7F7C52D3">
      <w:pPr>
        <w:pStyle w:val="2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项目名称：雅安市城市综合停车场水中坝综合停车场及配套用房招租</w:t>
      </w:r>
    </w:p>
    <w:p w14:paraId="4EDD68CC"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项目编号：202505001</w:t>
      </w:r>
    </w:p>
    <w:tbl>
      <w:tblPr>
        <w:tblStyle w:val="6"/>
        <w:tblW w:w="7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33"/>
        <w:gridCol w:w="1439"/>
        <w:gridCol w:w="1650"/>
        <w:gridCol w:w="1650"/>
      </w:tblGrid>
      <w:tr w14:paraId="22D6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 w14:paraId="1C2941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3" w:type="dxa"/>
            <w:vAlign w:val="center"/>
          </w:tcPr>
          <w:p w14:paraId="2B6A44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9" w:type="dxa"/>
            <w:vAlign w:val="center"/>
          </w:tcPr>
          <w:p w14:paraId="586C5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 w14:paraId="2E5CE2F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 w14:paraId="2EDC31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 w14:paraId="78B5BE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（元/年）</w:t>
            </w:r>
          </w:p>
        </w:tc>
        <w:tc>
          <w:tcPr>
            <w:tcW w:w="1650" w:type="dxa"/>
            <w:vAlign w:val="center"/>
          </w:tcPr>
          <w:p w14:paraId="321A29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0EB9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7" w:type="dxa"/>
            <w:vAlign w:val="center"/>
          </w:tcPr>
          <w:p w14:paraId="60F4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33" w:type="dxa"/>
            <w:vAlign w:val="center"/>
          </w:tcPr>
          <w:p w14:paraId="4F1186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雅安市雨城区雅雨路熊猫公园旁</w:t>
            </w:r>
          </w:p>
          <w:p w14:paraId="37DA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29F6C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148.55平方米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配套用房及整体停车场（含停车场充电桩使用权）</w:t>
            </w:r>
          </w:p>
        </w:tc>
        <w:tc>
          <w:tcPr>
            <w:tcW w:w="1650" w:type="dxa"/>
            <w:vAlign w:val="center"/>
          </w:tcPr>
          <w:p w14:paraId="2C7FB22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</w:p>
        </w:tc>
        <w:tc>
          <w:tcPr>
            <w:tcW w:w="1650" w:type="dxa"/>
            <w:vAlign w:val="center"/>
          </w:tcPr>
          <w:p w14:paraId="2B2F624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 w14:paraId="3536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54E1F8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3658F1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171379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9CCAF24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5F74F09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258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3F3920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39B402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57C924D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8EB8E61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6913BDA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7134635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为不低于竞价底价的任意价，年租金报价以元为单位，保留整数，报价单须用信封密封并加盖骑缝公章或竞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 w14:paraId="567D4AED">
      <w:pPr>
        <w:pStyle w:val="5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74EEF03">
      <w:pPr>
        <w:pStyle w:val="2"/>
        <w:rPr>
          <w:rFonts w:hint="eastAsia"/>
        </w:rPr>
      </w:pPr>
    </w:p>
    <w:p w14:paraId="67388FF2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          （公司章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手指印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5A4D7B07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 w14:paraId="24EDDD4D"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 w14:paraId="1B5F6908">
      <w:pPr>
        <w:pStyle w:val="8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2A3A0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2396A0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DE28B6"/>
    <w:p w14:paraId="6D8AC5E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25E0C"/>
    <w:rsid w:val="2E5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3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styleId="8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2025-04-27T08:59:00Z</dcterms:created>
  <dc:creator>宁静致远</dc:creator>
  <cp:lastModifiedBy>宁静致远</cp:lastModifiedBy>
  <dcterms:modified xsi:type="dcterms:W3CDTF">2025-04-27T09:01:49Z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BD8DD73FAD2B49C4ACB859A95D5108EB_11</vt:lpwstr>
  </property>
  <property fmtid="{D5CDD505-2E9C-101B-9397-08002B2CF9AE}" pid="4" name="KSOTemplateDocerSaveRecord">
    <vt:lpwstr>eyJoZGlkIjoiMTkyZWQzNDVkYTE3NmFkMWRkMjdhOGY4NzFhMmRjYmQiLCJ1c2VySWQiOiI0MzMyOTUwNzQifQ==</vt:lpwstr>
  </property>
</Properties>
</file>